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BA" w:rsidRDefault="00B667BA" w:rsidP="00B6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/>
          <w:sz w:val="28"/>
          <w:szCs w:val="28"/>
        </w:rPr>
        <w:t>директора</w:t>
      </w:r>
    </w:p>
    <w:p w:rsidR="00B667BA" w:rsidRDefault="00B667BA" w:rsidP="00B6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загальноосвітньої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</w:p>
    <w:p w:rsidR="00B667BA" w:rsidRDefault="00B667BA" w:rsidP="00B6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667BA" w:rsidRDefault="00B667BA" w:rsidP="00B6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Прибиловської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Наталії Василівни перед  громадськістю у 2017 році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7BA" w:rsidRDefault="00B667BA" w:rsidP="00B667B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Забезпечення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>
        <w:rPr>
          <w:rFonts w:ascii="Times New Roman" w:hAnsi="Times New Roman" w:cs="Times New Roman"/>
          <w:b/>
          <w:sz w:val="28"/>
          <w:szCs w:val="28"/>
        </w:rPr>
        <w:t>язковості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</w:t>
      </w:r>
      <w:r>
        <w:rPr>
          <w:rFonts w:ascii="Times New Roman" w:hAnsi="Times New Roman" w:cs="Times New Roman"/>
          <w:sz w:val="28"/>
          <w:szCs w:val="28"/>
        </w:rPr>
        <w:t xml:space="preserve"> 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52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Педагогічний колектив  пройнятий   ідеєю відродження держави, формування освіченої, культурної, національно свідомої молоді. 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відпрацьовано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прагне до самовдосконалення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спрямовує зусилля на розвиток та мотивацію школярі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навчання, здоровий спосіб життя;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 прагнуть </w:t>
      </w:r>
      <w:r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статуту </w:t>
      </w:r>
      <w:r>
        <w:rPr>
          <w:rFonts w:ascii="Times New Roman" w:hAnsi="Times New Roman" w:cs="Times New Roman"/>
          <w:b/>
          <w:sz w:val="28"/>
          <w:szCs w:val="28"/>
        </w:rPr>
        <w:t>головною метою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ідповідно до Державних стандартів початкової, базової та повної середньої освіти.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Головними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базової та повної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самовизначенні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7BA" w:rsidRDefault="00B667BA" w:rsidP="00B667B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законом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7BA" w:rsidRDefault="00B667BA" w:rsidP="00B667B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 звітний період:</w:t>
      </w:r>
    </w:p>
    <w:p w:rsidR="00B667BA" w:rsidRDefault="00B667BA" w:rsidP="00B667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наради при директорові, де розглядалися такі питання:  нормативні документи в галузі освіти , підвищення якості організації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процесу;  дотримання правил техніки безпеки та охорони праці; запобігання дитячому травматизму тощо. </w:t>
      </w:r>
    </w:p>
    <w:p w:rsidR="002E3318" w:rsidRPr="002E3318" w:rsidRDefault="002E3318" w:rsidP="002E3318">
      <w:pPr>
        <w:ind w:left="855"/>
        <w:rPr>
          <w:rFonts w:ascii="Times New Roman" w:hAnsi="Times New Roman" w:cs="Times New Roman"/>
          <w:sz w:val="28"/>
          <w:szCs w:val="28"/>
          <w:lang w:val="uk-UA"/>
        </w:rPr>
      </w:pPr>
      <w:r w:rsidRPr="002E33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Проведені </w:t>
      </w:r>
      <w:r w:rsidRPr="002E3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педагогічних рад</w:t>
      </w:r>
      <w:r w:rsidRPr="002E3318">
        <w:rPr>
          <w:rFonts w:ascii="Times New Roman" w:hAnsi="Times New Roman" w:cs="Times New Roman"/>
          <w:sz w:val="28"/>
          <w:szCs w:val="28"/>
          <w:lang w:val="uk-UA"/>
        </w:rPr>
        <w:t xml:space="preserve"> на теми:</w:t>
      </w:r>
    </w:p>
    <w:p w:rsidR="002E3318" w:rsidRPr="002E3318" w:rsidRDefault="002E3318" w:rsidP="002E331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3318">
        <w:rPr>
          <w:rFonts w:ascii="Times New Roman" w:hAnsi="Times New Roman" w:cs="Times New Roman"/>
          <w:sz w:val="28"/>
          <w:szCs w:val="28"/>
          <w:lang w:val="uk-UA"/>
        </w:rPr>
        <w:t>Консиліум з наступності (1, 5-ті  класи)</w:t>
      </w:r>
    </w:p>
    <w:p w:rsidR="002E3318" w:rsidRPr="002E3318" w:rsidRDefault="002E3318" w:rsidP="002E331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31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«Підвищення рівня навчальних досягнень школярів на основі упровадження елементів новацій у навчальному процесі»  (ділова гра)</w:t>
      </w:r>
    </w:p>
    <w:p w:rsidR="002E3318" w:rsidRPr="002E3318" w:rsidRDefault="002E3318" w:rsidP="002E331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«Ціннісні орієнтації як фактор підвищення якості </w:t>
      </w:r>
      <w:proofErr w:type="spellStart"/>
      <w:r w:rsidRPr="002E3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</w:t>
      </w:r>
      <w:proofErr w:type="spellEnd"/>
      <w:r w:rsidRPr="002E3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виховного процесу»  (практикум)</w:t>
      </w:r>
    </w:p>
    <w:p w:rsidR="002E3318" w:rsidRPr="00326EC5" w:rsidRDefault="002E3318" w:rsidP="00BE0D70">
      <w:pPr>
        <w:pStyle w:val="a6"/>
        <w:numPr>
          <w:ilvl w:val="0"/>
          <w:numId w:val="1"/>
        </w:numPr>
        <w:ind w:left="568" w:hanging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6EC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«Діагностика соціального розвитку особистості: досвід і проблеми педагогічної практики»  ( практикум)</w:t>
      </w:r>
    </w:p>
    <w:p w:rsidR="00B667BA" w:rsidRDefault="00B667BA" w:rsidP="002E3318">
      <w:pPr>
        <w:pStyle w:val="a5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в цілому створені сприятливі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для отримання повної загальної</w:t>
      </w:r>
      <w:r w:rsidR="00E30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Викладання навчальних предметів проводиться українською мовою; з 1-го по 9-й клас впроваджено вивчення російської мови. 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766"/>
        <w:gridCol w:w="766"/>
        <w:gridCol w:w="766"/>
        <w:gridCol w:w="766"/>
        <w:gridCol w:w="766"/>
        <w:gridCol w:w="940"/>
        <w:gridCol w:w="766"/>
        <w:gridCol w:w="766"/>
        <w:gridCol w:w="766"/>
        <w:gridCol w:w="766"/>
      </w:tblGrid>
      <w:tr w:rsidR="00B667BA" w:rsidTr="00B667BA">
        <w:trPr>
          <w:cantSplit/>
          <w:trHeight w:val="31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українською мовою  навчання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наповнюваність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на 05.09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Поглиблене вивчення кл./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Профільне навчання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 w:rsidP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11-х класів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BA" w:rsidRDefault="00B667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зарахування учнів, які прибули з інших держав</w:t>
            </w:r>
          </w:p>
        </w:tc>
      </w:tr>
      <w:tr w:rsidR="00B667BA" w:rsidTr="00B667BA">
        <w:trPr>
          <w:trHeight w:val="4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2016/</w:t>
            </w:r>
          </w:p>
          <w:p w:rsidR="00B667BA" w:rsidRDefault="00B667BA" w:rsidP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166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6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166711" w:rsidP="00166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1-18</w:t>
            </w:r>
          </w:p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166711" w:rsidP="00166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6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класів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1822"/>
        <w:gridCol w:w="2134"/>
        <w:gridCol w:w="1393"/>
        <w:gridCol w:w="1430"/>
      </w:tblGrid>
      <w:tr w:rsidR="00B667BA" w:rsidTr="00B667B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Навчальний рік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05.09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кінець навчального року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Різниця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 1-х класів</w:t>
            </w:r>
          </w:p>
        </w:tc>
      </w:tr>
      <w:tr w:rsidR="00B667BA" w:rsidTr="00B667B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Tr="00B667B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Tr="00B667B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Tr="00B667B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166711" w:rsidP="00166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E301C4" w:rsidP="00E30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B667B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E30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+ </w:t>
            </w:r>
            <w:r w:rsidR="00E301C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 наповнюваність класів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-2</w:t>
      </w:r>
      <w:r w:rsidR="002E33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E301C4" w:rsidRDefault="00E301C4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навчання  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Необхідно відзначити, що кількість  учнів, які навчаються за  індивідуальною формою за станом здоров’я  становить 3 учні.</w:t>
      </w:r>
    </w:p>
    <w:p w:rsidR="00B667BA" w:rsidRDefault="00B667BA" w:rsidP="00B667BA">
      <w:pPr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 2017/2018  навчальному році планується функціонування 17 класів, у них очікується 418 учнів. Усі класи з українською мовою навчання, 1-10-і з українською мовою навчання з вивченням російської. Профіль навчання – технологічний – 1 клас,  1</w:t>
      </w:r>
      <w:r w:rsidR="002E331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67BA" w:rsidRDefault="00B667BA" w:rsidP="00B667BA">
      <w:pPr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Створення умов для варіативності  навчання,  упровадження новацій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виховний процес</w:t>
      </w:r>
    </w:p>
    <w:p w:rsidR="00B667BA" w:rsidRDefault="00B667BA" w:rsidP="00B667B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 створені умови для варіативності навчання, упровадження новацій.  Організовано надання додаткових освітніх послуг за позабюджетні кошти.  В 2016/2017 навчальному році в школі функціонувало 17 груп за додатково залучені кошти  із навчальних предметів, спортивний гурток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бальних танців. </w:t>
      </w:r>
    </w:p>
    <w:tbl>
      <w:tblPr>
        <w:tblW w:w="6179" w:type="dxa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370"/>
        <w:gridCol w:w="941"/>
        <w:gridCol w:w="2211"/>
      </w:tblGrid>
      <w:tr w:rsidR="00B667BA" w:rsidTr="00B667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платних груп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B667BA" w:rsidTr="00B667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Tr="00B667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Tr="00B667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spacing w:after="0"/>
            </w:pPr>
          </w:p>
        </w:tc>
      </w:tr>
      <w:tr w:rsidR="00B667BA" w:rsidRPr="00BE0D70" w:rsidTr="00B667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320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</w:t>
            </w:r>
            <w:r w:rsidR="00320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32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0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1-11-і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320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мова, українське читання, математика, хімія, біологія, історія,  англійська мова, спортивний гурток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тхе-квондо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20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бальні танці.</w:t>
            </w:r>
          </w:p>
        </w:tc>
      </w:tr>
    </w:tbl>
    <w:p w:rsidR="00B667BA" w:rsidRDefault="00B667BA" w:rsidP="00B66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 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методична робота  була спрямована   на підвищення рівня кваліфікації вчителів, удосконалення майстерності, надання практичної  допомоги педагогічним працівникам  у розвитку творчої майстерності та активізації їх творчого потенціалу. Методична робота була спрямована на різнорівневу реалізацію основних положень Національної доктрини  розвитку освіти, виконанням вимог Конституції та </w:t>
      </w:r>
      <w:r w:rsidR="0016671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освіту», «Про загальну середню освіту», реалізацію Державних програм в галузі «Освіта»</w:t>
      </w:r>
    </w:p>
    <w:p w:rsidR="00B667BA" w:rsidRDefault="00B667BA" w:rsidP="00B66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методична робота проводилась за індивідуальними та груповими формами роботи, відповідно до затвердженої структури.</w:t>
      </w:r>
    </w:p>
    <w:p w:rsidR="00B667BA" w:rsidRDefault="002E3318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працює над реалізацією методичної теми: </w:t>
      </w:r>
      <w:r w:rsidR="00B667B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667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Формування і розвиток особистості учня на основі ціннісного підходу до організації   </w:t>
      </w:r>
      <w:proofErr w:type="spellStart"/>
      <w:r w:rsidR="00B667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навчально</w:t>
      </w:r>
      <w:proofErr w:type="spellEnd"/>
      <w:r w:rsidR="00B667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виховного процесу  в умовах упровадження Державного стандарту початкової, базової та повної загальної середньої освіти»  (</w:t>
      </w:r>
      <w:r w:rsidR="00320B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B667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B667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 рік упровадження ).</w:t>
      </w:r>
    </w:p>
    <w:p w:rsidR="00B667BA" w:rsidRDefault="00B667BA" w:rsidP="00B667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Пріоритетними напрямами  методичної роботи є: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 методологічної, інформаційної культури педагогічних працівників;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методична підготовка вчителів  за інноваційними технологіями, проведення діагностичної роботи, моніторингу якості освіти;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практичної, методичної допомоги  педагогічним працівникам;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 фахової компетентності на курсах  в Харківській академії неперервної освіти;</w:t>
      </w:r>
    </w:p>
    <w:p w:rsidR="00B667BA" w:rsidRDefault="00B667BA" w:rsidP="00B66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атестації педагогічних працівників.</w:t>
      </w:r>
    </w:p>
    <w:p w:rsidR="00B667BA" w:rsidRDefault="00B667BA" w:rsidP="00B667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курси підвищення кваліфікації пройшли </w:t>
      </w:r>
      <w:r w:rsidR="002125F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Атестація педагогічних працівників: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36"/>
        <w:gridCol w:w="1276"/>
        <w:gridCol w:w="1290"/>
        <w:gridCol w:w="1290"/>
        <w:gridCol w:w="1290"/>
        <w:gridCol w:w="1290"/>
      </w:tblGrid>
      <w:tr w:rsidR="00B667BA" w:rsidTr="00B667B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атестації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учителів, що атестувалися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Педагогічне звання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кваліфікаційна категорія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кваліфікаційна категорія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кваліфікаційна категорія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ind w:hanging="7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Спеціа-ліст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667BA" w:rsidTr="00B667B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320B32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667BA" w:rsidRDefault="00B667BA" w:rsidP="00320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320B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2125F5" w:rsidP="002125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320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320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667BA" w:rsidRDefault="00B667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встанов-лено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320B32" w:rsidP="00320B32">
            <w:pPr>
              <w:ind w:left="-48" w:right="-1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67BA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B667BA">
              <w:rPr>
                <w:rFonts w:ascii="Times New Roman" w:hAnsi="Times New Roman" w:cs="Times New Roman"/>
                <w:lang w:val="uk-UA"/>
              </w:rPr>
              <w:t>встанов-лено</w:t>
            </w:r>
            <w:proofErr w:type="spellEnd"/>
            <w:r w:rsidR="00B667B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8F3395" w:rsidP="00320B32">
            <w:pPr>
              <w:ind w:left="-48" w:right="-1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встанов-лено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8F3395" w:rsidP="002E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Pr="008F3395">
              <w:rPr>
                <w:lang w:val="uk-UA"/>
              </w:rPr>
              <w:t>(</w:t>
            </w:r>
            <w:r w:rsidR="002E3318" w:rsidRPr="008F3395">
              <w:rPr>
                <w:lang w:val="uk-UA"/>
              </w:rPr>
              <w:t>підтверджено</w:t>
            </w:r>
            <w:r w:rsidRPr="008F3395">
              <w:rPr>
                <w:lang w:val="uk-UA"/>
              </w:rPr>
              <w:t>)</w:t>
            </w:r>
          </w:p>
        </w:tc>
      </w:tr>
    </w:tbl>
    <w:p w:rsidR="00B667BA" w:rsidRDefault="00B667BA" w:rsidP="00B6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="00326EC5">
        <w:rPr>
          <w:rFonts w:ascii="Times New Roman" w:hAnsi="Times New Roman" w:cs="Times New Roman"/>
          <w:sz w:val="28"/>
          <w:szCs w:val="28"/>
          <w:lang w:val="uk-UA"/>
        </w:rPr>
        <w:t>вчителі школи брали участь у таких методичних заходах:</w:t>
      </w:r>
    </w:p>
    <w:p w:rsidR="002E3318" w:rsidRDefault="002E3318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 Районні семінари з базових предметів: української мови, математики, початкової школи, біології, інформатики, образотворчого мистецтва, фізики. </w:t>
      </w:r>
    </w:p>
    <w:p w:rsidR="002E3318" w:rsidRDefault="002E3318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Семінар для вчителів англійської мови видавництва «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  <w:lang w:val="uk-UA"/>
        </w:rPr>
        <w:t>» та фірми  «</w:t>
      </w:r>
      <w:r>
        <w:rPr>
          <w:rFonts w:ascii="Times New Roman" w:hAnsi="Times New Roman" w:cs="Times New Roman"/>
          <w:sz w:val="28"/>
          <w:szCs w:val="28"/>
          <w:lang w:val="en-US"/>
        </w:rPr>
        <w:t>UBD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3318" w:rsidRDefault="002E3318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ХІ Міжнародна школа – семінар «Сучасні педагогічні технології в освіті» НТУ «ХПІ».  Актуальні підходи до методики навчання, виховання та розвитку особистості.</w:t>
      </w:r>
    </w:p>
    <w:p w:rsidR="002E3318" w:rsidRDefault="002E3318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Семінар для вчителів математики та фізики при Національному аерокосмічному університеті імені М.Жуковського « Харківський авіаційний інститут» ( кафедра « Економіка. Менеджмент. Інформаційні технології).</w:t>
      </w:r>
    </w:p>
    <w:p w:rsidR="002E3318" w:rsidRDefault="002E3318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Семінар для вчителів іноземних мов « Сучасні підходи до навчання іноземної мови : шляхи інтеграції школи та ВНЗ». Харківський національний університет імені  В.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318" w:rsidRPr="00326EC5" w:rsidRDefault="002E3318" w:rsidP="00326EC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26E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Підготовка тренера з методики навчання вчителів для викладання </w:t>
      </w:r>
      <w:proofErr w:type="spellStart"/>
      <w:r w:rsidRPr="00326EC5">
        <w:rPr>
          <w:rFonts w:ascii="Times New Roman" w:hAnsi="Times New Roman" w:cs="Times New Roman"/>
          <w:i/>
          <w:sz w:val="28"/>
          <w:szCs w:val="28"/>
          <w:lang w:val="uk-UA"/>
        </w:rPr>
        <w:t>тренінгового</w:t>
      </w:r>
      <w:proofErr w:type="spellEnd"/>
      <w:r w:rsidRPr="00326E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курсу «Вчимося жити разом» у початковій школі на засадах розвитку життєвих навичок (м. Київ)</w:t>
      </w:r>
    </w:p>
    <w:p w:rsidR="002E3318" w:rsidRPr="006B7FBB" w:rsidRDefault="002E3318" w:rsidP="00326EC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FB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айстер-клас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викладають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предмет "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>" за темою "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графічні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(ХГ №55, ХЛ №107)</w:t>
      </w:r>
    </w:p>
    <w:p w:rsidR="002E3318" w:rsidRPr="006B7FBB" w:rsidRDefault="002E3318" w:rsidP="00326EC5">
      <w:pPr>
        <w:pStyle w:val="HTML"/>
        <w:shd w:val="clear" w:color="auto" w:fill="FFFFFF"/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8. Р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айонний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майстер-клас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ЗНЗ за темою: "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Арт-методи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практичного психолога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асоціальною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</w:rPr>
        <w:t>поведінкою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2E3318" w:rsidRPr="006B7FBB" w:rsidRDefault="002E3318" w:rsidP="002E3318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 Майстер – клас для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вчителі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початкових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класів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"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Святковий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hand-made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базі ХЗОШ №5. </w:t>
      </w:r>
    </w:p>
    <w:p w:rsidR="002E3318" w:rsidRDefault="002E3318" w:rsidP="002E3318">
      <w:pPr>
        <w:pStyle w:val="HTML"/>
        <w:shd w:val="clear" w:color="auto" w:fill="FFFFFF"/>
        <w:spacing w:line="276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6B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0. Майстер – клас </w:t>
      </w:r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навчання </w:t>
      </w:r>
      <w:proofErr w:type="spellStart"/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аудіюванню</w:t>
      </w:r>
      <w:proofErr w:type="spellEnd"/>
      <w:r w:rsidRPr="006B7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англійської мови  засобами мультимедійних технологій</w:t>
      </w:r>
      <w:r w:rsidRPr="006B7FBB"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 кафедрі ділової іноземної мови та перекладу НТУ "ХПІ" </w:t>
      </w:r>
    </w:p>
    <w:p w:rsidR="002E3318" w:rsidRDefault="002E3318" w:rsidP="002E3318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33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   11.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4E5A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E5AB8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4E5AB8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учнів до ЗНО з російської мови ( КВНЗ «Харківська академія неперервної освіти»)</w:t>
      </w:r>
    </w:p>
    <w:p w:rsidR="002E3318" w:rsidRPr="004E5AB8" w:rsidRDefault="00326EC5" w:rsidP="002E3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3318" w:rsidRPr="004E5A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3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3318" w:rsidRPr="004E5AB8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емінар-практикумі з української мови вчителів нефілологічних спеціальностей на базі Харківського приватного академічного ліцею Харківської області, Харківської державної академії дизайну і мистецтв. </w:t>
      </w:r>
    </w:p>
    <w:p w:rsidR="002E3318" w:rsidRPr="004E5AB8" w:rsidRDefault="00326EC5" w:rsidP="002E3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2E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Вебінар</w:t>
      </w:r>
      <w:proofErr w:type="spellEnd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підготовки учнів до ЗНО з іноземних мов (КВНЗ «Харківська академія неперервної освіти»)   в </w:t>
      </w:r>
      <w:proofErr w:type="spellStart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line</w:t>
      </w:r>
      <w:proofErr w:type="spellEnd"/>
      <w:r w:rsidR="002E3318" w:rsidRPr="004E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режимі. </w:t>
      </w:r>
    </w:p>
    <w:p w:rsidR="002E3318" w:rsidRPr="001B0A21" w:rsidRDefault="00326EC5" w:rsidP="002E3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2E3318"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2E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2E3318"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Майстер – клас для вчителів української мови та літератури. ( ХЗОШ №36)</w:t>
      </w:r>
    </w:p>
    <w:p w:rsidR="002E3318" w:rsidRPr="001B0A21" w:rsidRDefault="002E3318" w:rsidP="002E331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айонний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семінар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вчителів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фізики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ХСШ №62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0A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3318" w:rsidRPr="001B0A21" w:rsidRDefault="002E3318" w:rsidP="002E3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0A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1B0A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Районний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вчителів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образотвочого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темою "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Вшанування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пам'яті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Великого Кобзаря"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18. М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айстер-клас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учителів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музичного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темою "Роль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інтегрованого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уроку у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формуванні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ціннісного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музичного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(ХЛ № 133)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318" w:rsidRDefault="002E3318" w:rsidP="002E3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0A2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1B0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Міський семінар для вчителів біології  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ХСШ № 132.</w:t>
      </w:r>
      <w:r w:rsidRPr="001B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E3318" w:rsidRDefault="002E3318" w:rsidP="002E33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2016/2017 навчального року на базі навчального закладу були проведені  </w:t>
      </w:r>
      <w:r w:rsidRPr="00326E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районні семінари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3318" w:rsidRDefault="002E3318" w:rsidP="002E3318">
      <w:pPr>
        <w:pStyle w:val="a6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– клас  для вчителів  початкової школи   ( березень   2017 року).</w:t>
      </w:r>
    </w:p>
    <w:p w:rsidR="002E3318" w:rsidRDefault="002E3318" w:rsidP="002E3318">
      <w:pPr>
        <w:pStyle w:val="a6"/>
        <w:numPr>
          <w:ilvl w:val="3"/>
          <w:numId w:val="2"/>
        </w:numPr>
        <w:spacing w:after="0" w:line="240" w:lineRule="auto"/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655">
        <w:rPr>
          <w:rFonts w:ascii="Times New Roman" w:hAnsi="Times New Roman" w:cs="Times New Roman"/>
          <w:sz w:val="28"/>
          <w:szCs w:val="28"/>
          <w:lang w:val="uk-UA"/>
        </w:rPr>
        <w:t xml:space="preserve">    Майстер – клас  в рамках міського конкурсу професійної майстерності «Учитель року - 2017» (номінація - інформатика)</w:t>
      </w:r>
    </w:p>
    <w:p w:rsidR="002E3318" w:rsidRPr="00BA2655" w:rsidRDefault="002E3318" w:rsidP="002E3318">
      <w:pPr>
        <w:spacing w:after="0" w:line="240" w:lineRule="auto"/>
        <w:ind w:left="143"/>
        <w:rPr>
          <w:rFonts w:ascii="Times New Roman" w:hAnsi="Times New Roman" w:cs="Times New Roman"/>
          <w:sz w:val="28"/>
          <w:szCs w:val="28"/>
          <w:lang w:val="uk-UA"/>
        </w:rPr>
      </w:pPr>
    </w:p>
    <w:p w:rsidR="002E3318" w:rsidRDefault="002E3318" w:rsidP="002E331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педагогічних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теми:</w:t>
      </w:r>
    </w:p>
    <w:p w:rsidR="002E3318" w:rsidRDefault="002E3318" w:rsidP="002E331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Консиліум з наступності (1, 5-ті  класи)</w:t>
      </w:r>
    </w:p>
    <w:p w:rsidR="002E3318" w:rsidRDefault="002E3318" w:rsidP="002E3318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«Підвищення рівня навчальних досягнень школярів на основі упровадження елементів новацій у навчальному процесі»  (ділова гра)</w:t>
      </w:r>
    </w:p>
    <w:p w:rsidR="002E3318" w:rsidRDefault="002E3318" w:rsidP="002E3318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«Ціннісні орієнтації як фактор підвищення якості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виховного процесу»  (практикум)</w:t>
      </w:r>
    </w:p>
    <w:p w:rsidR="002E3318" w:rsidRDefault="002E3318" w:rsidP="002E3318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«Діагностика соціального розвитку особистості: досвід і проблеми педагогічної практики»  ( практикум)</w:t>
      </w:r>
    </w:p>
    <w:p w:rsidR="002E3318" w:rsidRDefault="002E3318" w:rsidP="00B6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166711" w:rsidP="00B66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тренера з методики навчання вчителів для викладання </w:t>
      </w:r>
      <w:proofErr w:type="spellStart"/>
      <w:r w:rsidR="00B667BA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курсу «Вчимося жити разом» у початковій школі на засадах розвитку життєвих навичок  в місті  Києві.</w:t>
      </w:r>
    </w:p>
    <w:p w:rsidR="00B667BA" w:rsidRDefault="00166711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інформаційно-комунікаційними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67BA" w:rsidRDefault="00B667BA" w:rsidP="00B667BA">
      <w:pPr>
        <w:pStyle w:val="a3"/>
        <w:spacing w:after="0"/>
        <w:ind w:left="3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Обов’язковою складовою методичної роботи є проведення моніторингових досліджень: 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рівня навченості школярів на основі результатів навчальних досягнень за І семестр, ІІ семестр, рік,  підсумків ДПА, ЗНО;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рівня викладання предметів по паралелях з метою визначення якості освіти, результативності діяльності вчителя;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початкових класах проводиться перевірка техніки читання, моніторингові дослідження рівня навченості протягом усіх років навчання школяра;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результативності участі школярів у інтелектуальних, творчих конкурсах, олімпіадах, турнірах, змаганнях, тощо;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визначається рівень мотивації школярів до вивчення окремих предметів шляхом анкетування;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ступеня ефективності інноваційної діяльності;</w:t>
      </w:r>
    </w:p>
    <w:p w:rsidR="00B667BA" w:rsidRDefault="00B667BA" w:rsidP="00B66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рівня вихованості учнів. 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Здійснювалась організація роботи предметних методичних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єднань, методичної ради,  творчих,  динамічних груп (за окремими планами).</w:t>
      </w:r>
    </w:p>
    <w:p w:rsidR="00B667BA" w:rsidRDefault="00B667BA" w:rsidP="00B66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закладу беруть  участь 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міжнародних проектах</w:t>
      </w:r>
      <w:r>
        <w:rPr>
          <w:rFonts w:ascii="Times New Roman" w:hAnsi="Times New Roman" w:cs="Times New Roman"/>
          <w:sz w:val="28"/>
          <w:szCs w:val="28"/>
          <w:lang w:val="uk-UA"/>
        </w:rPr>
        <w:t>, конкурсах:</w:t>
      </w:r>
    </w:p>
    <w:p w:rsidR="00B667BA" w:rsidRDefault="00B667BA" w:rsidP="00B667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Всеукраїнському проекті «Вчимося жити разом» (навчання життєвим навичкам) –  під патронатом громадської організації «Дитячий фонд «Здоров’я через освіту» за підтримки Європейського Союзу і Представництва Дитячого фонду ООН (ЮНІСЕФ) 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Харківському відділенні Всеукраїнського благодійного фонду допомоги жертвам насилля ( міжнародний  проект « Підлітки у безпеці » )</w:t>
      </w:r>
    </w:p>
    <w:p w:rsidR="00326EC5" w:rsidRDefault="00326EC5" w:rsidP="00B667BA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7BA" w:rsidRDefault="00B667BA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Практичний психолог школи є членом УСП « Української спілки психотерапевтів» , брала  участь  у  навчальному проекті  « Системно – сімейна робота психотерапевта ». Організована консультативна робота для мешканців мікрорайону. Проводяться індивідуальні консультації з батьками дітей з 4 - річного віку.</w:t>
      </w:r>
    </w:p>
    <w:p w:rsidR="00326EC5" w:rsidRDefault="00326EC5" w:rsidP="00B667BA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1D70" w:rsidRDefault="00A61D70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0B3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>ауково – технічній конференції довузівської молоді «Хімія і фізика в сучасних технологіях творчості » при НТУ «ХПІ».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67BA" w:rsidRDefault="00A61D70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Науково – практичній конференції при НАУ (ХАІ) (кафедра менеджменту,  та інформаційних технологій 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67BA" w:rsidRDefault="00B667BA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Науково – практичній конференції довузівської молоді «Гагарінські читання» при НАУ (ХАІ).</w:t>
      </w:r>
    </w:p>
    <w:p w:rsidR="00B667BA" w:rsidRDefault="00B667BA" w:rsidP="00E46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ІІІ. Зміцнення та модернізація  </w:t>
      </w:r>
      <w:r w:rsidR="00320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технічної  бази</w:t>
      </w:r>
    </w:p>
    <w:p w:rsidR="00E46707" w:rsidRPr="00E46707" w:rsidRDefault="00B667BA" w:rsidP="00E4670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707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робота щодо зміцнення матеріально – технічної бази             спортмайданчиків,  великого  спортзалу  ( очищення та лакування підлоги),  малого спортзалу, </w:t>
      </w:r>
      <w:r w:rsidR="00320B32" w:rsidRPr="00E46707">
        <w:rPr>
          <w:rFonts w:ascii="Times New Roman" w:hAnsi="Times New Roman" w:cs="Times New Roman"/>
          <w:sz w:val="28"/>
          <w:szCs w:val="28"/>
          <w:lang w:val="uk-UA"/>
        </w:rPr>
        <w:t>вхідної групи, кабінетів 39,2</w:t>
      </w:r>
      <w:r w:rsidR="00E46707" w:rsidRPr="00E4670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667BA" w:rsidRPr="00E46707" w:rsidRDefault="00B667BA" w:rsidP="00E46707">
      <w:pPr>
        <w:pStyle w:val="a6"/>
        <w:numPr>
          <w:ilvl w:val="1"/>
          <w:numId w:val="3"/>
        </w:numPr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E46707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Проведений частковий ремонт цоколя теплиці, опорної стіни.</w:t>
      </w:r>
    </w:p>
    <w:p w:rsidR="00B667BA" w:rsidRDefault="00E46707" w:rsidP="00B667BA">
      <w:pPr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>.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ланується провести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частковий ремонт м</w:t>
      </w:r>
      <w:r w:rsidR="00B667BA">
        <w:rPr>
          <w:rFonts w:ascii="Times New Roman" w:hAnsi="Times New Roman" w:cs="Times New Roman"/>
          <w:sz w:val="28"/>
          <w:szCs w:val="28"/>
        </w:rPr>
        <w:t>’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>якої покрівлі –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кв. м.</w:t>
      </w:r>
    </w:p>
    <w:p w:rsidR="00B667BA" w:rsidRDefault="00B667BA" w:rsidP="00B667BA">
      <w:pPr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Залучено 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 xml:space="preserve">позабюджетних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79 тисяч гривень.</w:t>
      </w:r>
    </w:p>
    <w:p w:rsidR="00B667BA" w:rsidRDefault="00B667BA" w:rsidP="00B667BA">
      <w:pPr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 Залучення додаткових джерел фінансування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 Надання додаткових освітніх послуг за позабюджетні кошти – планується в 201</w:t>
      </w:r>
      <w:r w:rsidR="00E4670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E4670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відкрити  17  груп з предметів: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мова,  українське читання,  математика,  хімія,  біологія, історія,  англійська мова, спортивний гурток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гурток 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>бальних танців.</w:t>
      </w:r>
    </w:p>
    <w:p w:rsidR="00B667BA" w:rsidRDefault="00B667BA" w:rsidP="00B667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Забезпеченість кваліфікованими педагогічними кадрами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Укомплектованість закладу педагогічними кадрами, умотивованість їх розстановки – один із визначальних чинників, що зумовлюють ефективність функціонування школи  як соціально-педагогічної системи. 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до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70" w:rsidRDefault="00B667BA" w:rsidP="00B667BA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Спостерігається позитивна динаміка збільшення кількості вчителів, які мають кваліфікаційні категорії «спеціаліст вищої категорії» та «спеціаліст І категорії», що свідчить про стабільність колективу та систематичність у роботі щодо підвищення кваліфікаційного рівня педагогів.</w:t>
      </w:r>
      <w:r w:rsidR="003C7740">
        <w:rPr>
          <w:sz w:val="28"/>
          <w:szCs w:val="28"/>
        </w:rPr>
        <w:t xml:space="preserve"> У поточному навчальному році</w:t>
      </w:r>
      <w:r w:rsidR="00A61D70">
        <w:rPr>
          <w:sz w:val="28"/>
          <w:szCs w:val="28"/>
        </w:rPr>
        <w:t>.</w:t>
      </w:r>
    </w:p>
    <w:p w:rsidR="00B667BA" w:rsidRDefault="003C7740" w:rsidP="00B667BA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7BA" w:rsidRDefault="00B667BA" w:rsidP="00326E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кадровим резервом</w:t>
      </w:r>
    </w:p>
    <w:p w:rsidR="00E46707" w:rsidRDefault="00B667BA" w:rsidP="00326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Затверджено  список осіб, зарахованих до кадрового резерву;- здійснювалась відвідування районного семінару резерву керівних кадрів;</w:t>
      </w:r>
    </w:p>
    <w:p w:rsidR="00B667BA" w:rsidRDefault="00B667BA" w:rsidP="00326E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забезпечувалось залучення вчителів, зарахованих до кадрового резерву, до управлінської, методичної роботи з метою підвищення їх професійної (управлінської) майстерності.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молодими спеціалістами: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Організовано  наставництво;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працює школа молодого та малодосвідченого вчителя (за окремим 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планом );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забезпечено відвідування районної школи молодого учителя;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надано методичні рекомендації, пров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дяться  індивідуальні консультації;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педагогів забезпечено  навчальним  навантаженням (за згодою учителя).</w:t>
      </w:r>
    </w:p>
    <w:p w:rsidR="00B667BA" w:rsidRDefault="00B667BA" w:rsidP="00326EC5">
      <w:pPr>
        <w:pStyle w:val="a3"/>
        <w:spacing w:after="0"/>
        <w:ind w:left="3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Обов’язковою складовою методичної роботи є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моніторингових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рівня навченості школярів на основі результатів навчальних досягнень за І семестр, ІІ семестр, рік,  підсумків ДПА, ЗНО;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рівня викладання предметів по паралелях з метою визначення якості освіти, результативності діяльності вчителя;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початкових класах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щосеместра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перевірка техніки читання, моніторингові дослідження рівня навченості протягом усіх років навчання школяра;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результативності участі школярів у інтелектуальних, творчих конкурсах, олімпіадах, турнірах, змаганнях, тощо;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визначається рівень мотивації школярів до вивчення окремих предметів шляхом анкетування;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ступеня ефективності інноваційної діяльності;</w:t>
      </w:r>
    </w:p>
    <w:p w:rsidR="00B667BA" w:rsidRDefault="00B667BA" w:rsidP="0032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рівня вихованості учнів. </w:t>
      </w:r>
    </w:p>
    <w:p w:rsidR="00B667BA" w:rsidRDefault="00B667BA" w:rsidP="00326E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Здійснювалась організація роботи предметних методичних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єднань, методичної ради, творчих, динамічних груп (за окремими планами).</w:t>
      </w:r>
    </w:p>
    <w:p w:rsidR="00B667BA" w:rsidRDefault="00B667BA" w:rsidP="00326E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Соціальний захист та зміцнення здоров’я учасників НВП:</w:t>
      </w:r>
    </w:p>
    <w:p w:rsidR="00B667BA" w:rsidRDefault="00B667BA" w:rsidP="00326E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Підсумки роботи щодо організації харчування учнів</w:t>
      </w:r>
    </w:p>
    <w:p w:rsidR="00B667BA" w:rsidRDefault="00326EC5" w:rsidP="00326EC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667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B667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забезпечення організації повноцінного та якісного харчування  школярів згідно із затвердженими нормами харчування здійснювалося комунальним підприємством «Комбінат дитячого харчування».</w:t>
      </w:r>
    </w:p>
    <w:p w:rsidR="00B667BA" w:rsidRDefault="00B667BA" w:rsidP="00326EC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організовано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чинної нормативності,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грошових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норм.</w:t>
      </w:r>
    </w:p>
    <w:p w:rsidR="00B667BA" w:rsidRPr="00A61D70" w:rsidRDefault="00B667BA" w:rsidP="00326EC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ільгового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контингенту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харчувалися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бюджетні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7BA" w:rsidRPr="00A61D70" w:rsidRDefault="00B667BA" w:rsidP="00326EC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1-4-х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класах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відвідують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продовженого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- 1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,00 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B667BA" w:rsidRPr="00A61D70" w:rsidRDefault="00B667BA" w:rsidP="00326EC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1-4-х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харчувалися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бюджетні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розрахунку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сніданку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9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7BA" w:rsidRPr="00A61D70" w:rsidRDefault="00B667BA" w:rsidP="00326EC5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1-А 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1-Б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заявами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харчувалися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молоком (за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графіком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бюджетні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розрахунку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D70"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61D70"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гривн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на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 одного </w:t>
      </w:r>
      <w:proofErr w:type="spell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учня</w:t>
      </w:r>
      <w:proofErr w:type="spellEnd"/>
      <w:r w:rsidRPr="00A61D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30 учні</w:t>
      </w:r>
      <w:proofErr w:type="gramStart"/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Pr="00A61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відвідують  ГПД, забезпечені гарячим харчуванням.</w:t>
      </w:r>
    </w:p>
    <w:p w:rsidR="00B667BA" w:rsidRPr="00326EC5" w:rsidRDefault="00B667BA" w:rsidP="00B667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EC5">
        <w:rPr>
          <w:rFonts w:ascii="Times New Roman" w:hAnsi="Times New Roman" w:cs="Times New Roman"/>
          <w:b/>
          <w:sz w:val="24"/>
          <w:szCs w:val="24"/>
          <w:lang w:val="uk-UA"/>
        </w:rPr>
        <w:t>Кількісні показники організації харчування учнів у 201</w:t>
      </w:r>
      <w:r w:rsidR="00E46707" w:rsidRPr="00326EC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26EC5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E46707" w:rsidRPr="00326EC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26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701"/>
        <w:gridCol w:w="1589"/>
        <w:gridCol w:w="1701"/>
        <w:gridCol w:w="1590"/>
      </w:tblGrid>
      <w:tr w:rsidR="00B667BA" w:rsidTr="00B667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учнів,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харчували-ся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безкош-товно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ГПД, що харчувалися за кошти батьків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Дієтичне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за кошти батьків харчувалися учні 5-11 класів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% харчування учнів по школі</w:t>
            </w:r>
          </w:p>
        </w:tc>
      </w:tr>
      <w:tr w:rsidR="00B667BA" w:rsidTr="00B667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A61D70" w:rsidP="00A61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A61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A61D70" w:rsidP="00A61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A" w:rsidRDefault="00B667BA" w:rsidP="00A61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6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B667BA" w:rsidRDefault="00B667BA" w:rsidP="00B667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7BA" w:rsidRDefault="00326EC5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667BA">
        <w:rPr>
          <w:rFonts w:ascii="Times New Roman" w:hAnsi="Times New Roman" w:cs="Times New Roman"/>
          <w:b/>
          <w:sz w:val="28"/>
          <w:szCs w:val="28"/>
          <w:lang w:val="uk-UA"/>
        </w:rPr>
        <w:t>Охорона дитинства, техніки безпеки, санітарно – гігієнічних норм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Х</w:t>
      </w:r>
      <w:r>
        <w:rPr>
          <w:rFonts w:ascii="Times New Roman" w:hAnsi="Times New Roman" w:cs="Times New Roman"/>
          <w:sz w:val="28"/>
          <w:szCs w:val="28"/>
          <w:lang w:val="uk-UA"/>
        </w:rPr>
        <w:t>ЗОШ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аптечкою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Актами-дозволами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оздоровлення</w:t>
      </w:r>
    </w:p>
    <w:p w:rsidR="00B667BA" w:rsidRPr="00326EC5" w:rsidRDefault="00B667BA" w:rsidP="00B667BA">
      <w:pPr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У 201</w:t>
      </w:r>
      <w:r w:rsidR="00E46707"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відпочинок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пришкільному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таборі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відпочинку з денним перебуванням 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«Бригантина».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охоплено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61D70"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</w:t>
      </w:r>
      <w:r w:rsidR="00A61D70"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 рахунок бюджетних коштів були оздоровлені 13 учнів </w:t>
      </w:r>
      <w:proofErr w:type="gramStart"/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ільгового контингенту. У шкільній їдальні було організовано дворазове харчування та залучено коштів бюджетних – 3640 грн.,    батьківських –  4</w:t>
      </w:r>
      <w:r w:rsidR="00326EC5"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2280</w:t>
      </w:r>
      <w:r w:rsidRPr="00326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 </w:t>
      </w:r>
    </w:p>
    <w:p w:rsidR="00B667BA" w:rsidRDefault="00B667BA" w:rsidP="00B667BA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Дотримання правопорядку</w:t>
      </w:r>
    </w:p>
    <w:p w:rsidR="00B667BA" w:rsidRDefault="00B667BA" w:rsidP="00B667BA">
      <w:pPr>
        <w:ind w:firstLine="2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Аналіз даних моніторингу засвідчив, що основними причинами вчинення  неповнолітніми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протиправних дій є недостатній життєвий досвід, схильність до наслідування дорослих, не завжди позитивний вплив на дітей оточуючого середовища, намагання звільнитися від опіки з боку батьків, віра в безкарність, недостатній рівень самокритичного ставлення до власних вчинків, неправильна оцінка складних життєвих ситуацій,  безконтрольність з боку батьків.</w:t>
      </w:r>
      <w:r w:rsidR="00326EC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 xml:space="preserve">На обліку в школі знаходиться </w:t>
      </w:r>
      <w:r w:rsidR="00A61D70">
        <w:rPr>
          <w:rFonts w:ascii="Times New Roman" w:hAnsi="Times New Roman" w:cs="Times New Roman"/>
          <w:sz w:val="28"/>
          <w:szCs w:val="28"/>
          <w:lang w:val="uk-UA"/>
        </w:rPr>
        <w:t>9 учнів</w:t>
      </w:r>
      <w:r w:rsidR="00E467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Зв'язок з громадськими організаціями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Взаємодія з органами місцевого самоврядування, громадськістю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органом учнівського самоврядування Шкільною Парламентською республікою, профспілковим комітетом. Це зумовило протікання відповідних демократичних процесів у школі, що дають підставу говорити про децентралізацію адміністративної влади та посилення процесів громадсько-державного управління в ній.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Окремою лінією взаємодії з громадськістю керівного складу школи останнім часом проходить підтримка та реалізація зв’язків з  організаціями,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опікуються проблемами освіти як з позицій теорії педагогіки, так і з позицій її практики. Особливо тісна співпраці є  з Харківським національним педагогічним університетом імені Г.С.Сковороди, Харківським національним університетом (ХАІ) імені М. Жуковського.</w:t>
      </w:r>
    </w:p>
    <w:p w:rsidR="00B667BA" w:rsidRDefault="00326EC5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67BA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як продуктивно здоровий,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синергетичному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7BA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="00B667BA">
        <w:rPr>
          <w:rFonts w:ascii="Times New Roman" w:hAnsi="Times New Roman" w:cs="Times New Roman"/>
          <w:sz w:val="28"/>
          <w:szCs w:val="28"/>
        </w:rPr>
        <w:t>.</w:t>
      </w:r>
    </w:p>
    <w:p w:rsidR="003C7740" w:rsidRDefault="00B667BA" w:rsidP="00B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Співробітництво зі Школою мистецтв Київського району Харківської міської ради дає певні результати в роботі з обдарованою молоддю.  Учні школи протягом останніх 5-ти років стають переможцями ІІІ етапу конкурсу – захисту науково – дослідницьких робіт учнів – членів Малої академії наук України.</w:t>
      </w:r>
    </w:p>
    <w:p w:rsidR="00B667BA" w:rsidRDefault="003C7740" w:rsidP="00B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66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201</w:t>
      </w:r>
      <w:r w:rsidR="00E4670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66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навчальний заклад має   переможців ІІ</w:t>
      </w:r>
      <w:r w:rsidR="00E46707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етапу</w:t>
      </w:r>
      <w:r w:rsidR="00B66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конкурсу – захисту  науково – дослідницьких робіт учнів – членів МАН України.  </w:t>
      </w:r>
    </w:p>
    <w:p w:rsidR="00B667BA" w:rsidRDefault="00B667BA" w:rsidP="00B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Результатом співробітництва з радою ветеранів Другої світової війни ДНВП «Об’єднання Комунар» є в 2015 році підтвердження статусу «Зразковий музей» при ХЗОШ № 52  «Пам’ять».</w:t>
      </w:r>
    </w:p>
    <w:p w:rsidR="00B667BA" w:rsidRDefault="00B667BA" w:rsidP="00B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Співробітництво з позашкільними закладами Київського району – Станцією юних техніків, ДЮСШ – 1, ДЮСШ – 2 є продуктивним. Учні школи досягають певних результатів на обласному рівні в спортивних змаганнях та творчих конкурсах. </w:t>
      </w:r>
    </w:p>
    <w:p w:rsidR="00B667BA" w:rsidRDefault="00B667BA" w:rsidP="00B667B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Співробітництво з Харківським відділенням Всеукраїнського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благодійного фонду допомоги жертвам насилля ( міжнародний  проект </w:t>
      </w:r>
    </w:p>
    <w:p w:rsidR="00B667BA" w:rsidRDefault="00B667BA" w:rsidP="00B667BA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Підлітки у безпеці »).</w:t>
      </w:r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Співробітництво з Харківською громадською організацією  «Спілка фахівців з безпеки життєдіяльності людини», Малою академією  безпеки життєдіяльності (МАБЖ)  кафедра «Охорони праці та навколишнього середовища». 201</w:t>
      </w:r>
      <w:r w:rsidR="00DF0E2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-  перемога у  міському конкурсі «Безпека очима дітей». </w:t>
      </w:r>
    </w:p>
    <w:p w:rsidR="00B667BA" w:rsidRDefault="00B667BA" w:rsidP="00B66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Робота зі зверненнями  громадян</w:t>
      </w:r>
    </w:p>
    <w:p w:rsidR="00B667BA" w:rsidRDefault="00B667BA" w:rsidP="00B66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зі зверненнями громадян в Харківській загальноосвітній школі  І-ІІІ ступенів №52 Харківської міської ради Харківської області проводиться відповідно до Закону України від 02.10.1996 р. № 393/96 "Про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гро-мадян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", інструкції з діловодства за зверненнями громадян в органах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держав-ної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 і місцевого самоврядування, об'єднаннях громадян,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підпри-ємстввах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установах, організаціях незалежно від форм власності, в засобах масової інформації, затвердженої постановою Кабінету Міністрів України від 14.04.1997 р. № 348, Указу Президента України від 07.02.2008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p w:rsidR="00B667BA" w:rsidRDefault="00B667BA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останніх 3-х років  звернень  відносно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 в ХЗОШ № 52 не зафіксовано. Звернення стосувалися переводу учнів з однієї групи англійської мови в іншу в </w:t>
      </w:r>
      <w:r w:rsidR="00DF0E2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-А класі, міжособистісних  стосунків  між учнями </w:t>
      </w:r>
      <w:r w:rsidR="00DF0E2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класу.</w:t>
      </w:r>
    </w:p>
    <w:p w:rsidR="00194BCD" w:rsidRDefault="00194BCD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BCD" w:rsidRDefault="003C7740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щодо розвитку навчального закладу </w:t>
      </w:r>
      <w:r w:rsidR="00194BCD">
        <w:rPr>
          <w:rFonts w:ascii="Times New Roman" w:hAnsi="Times New Roman" w:cs="Times New Roman"/>
          <w:b/>
          <w:sz w:val="28"/>
          <w:szCs w:val="28"/>
          <w:lang w:val="uk-UA"/>
        </w:rPr>
        <w:t>на наступний навчальний рік</w:t>
      </w:r>
      <w:r w:rsidR="00194BCD" w:rsidRPr="00194B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C7740" w:rsidRPr="00BE0D70" w:rsidRDefault="003C7740" w:rsidP="003C7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>.</w:t>
      </w:r>
    </w:p>
    <w:p w:rsidR="003C7740" w:rsidRPr="003C7740" w:rsidRDefault="003C7740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40" w:rsidRDefault="003C7740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740" w:rsidRDefault="003C7740" w:rsidP="003C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</w:p>
    <w:p w:rsidR="003C7740" w:rsidRDefault="003C7740" w:rsidP="003C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 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7740" w:rsidRDefault="003C7740" w:rsidP="003C7740">
      <w:pPr>
        <w:numPr>
          <w:ilvl w:val="0"/>
          <w:numId w:val="6"/>
        </w:numPr>
        <w:spacing w:after="12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40" w:rsidRDefault="003C7740" w:rsidP="003C7740">
      <w:pPr>
        <w:pStyle w:val="2"/>
        <w:widowControl/>
        <w:numPr>
          <w:ilvl w:val="0"/>
          <w:numId w:val="7"/>
        </w:numPr>
        <w:snapToGrid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Планування на рік роботи школи та методичних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єднань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здійснювати згідно з сучасними вимогами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орієнтованої освіти на основі моніторингових досліджень, квадрант - аналізу.</w:t>
      </w:r>
    </w:p>
    <w:p w:rsidR="003C7740" w:rsidRDefault="003C7740" w:rsidP="003C7740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740" w:rsidRDefault="003C7740" w:rsidP="003C7740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740" w:rsidRDefault="003C7740" w:rsidP="003C77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3C7740" w:rsidRDefault="003C7740" w:rsidP="003C7740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>.</w:t>
      </w:r>
    </w:p>
    <w:p w:rsidR="003C7740" w:rsidRPr="00BE0D70" w:rsidRDefault="008F3395" w:rsidP="003C7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D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>великому</w:t>
      </w:r>
      <w:proofErr w:type="gramEnd"/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спортивному залі, актовому залі за позабюджетні кошти. </w:t>
      </w:r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C7740" w:rsidRPr="00BE0D70" w:rsidRDefault="003C7740" w:rsidP="003C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r w:rsidR="008F3395" w:rsidRPr="00BE0D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енергозбережувальні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у великому спортивному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лінолеуму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на 3, 4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поверхах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вентилів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E0D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D70">
        <w:rPr>
          <w:rFonts w:ascii="Times New Roman" w:hAnsi="Times New Roman" w:cs="Times New Roman"/>
          <w:sz w:val="28"/>
          <w:szCs w:val="28"/>
        </w:rPr>
        <w:t>ідвальному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70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BE0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40" w:rsidRPr="00BE0D70" w:rsidRDefault="008F3395" w:rsidP="003C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D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№ 30, 21 </w:t>
      </w:r>
      <w:proofErr w:type="gramStart"/>
      <w:r w:rsidR="003C7740" w:rsidRPr="00BE0D70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та  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наочністю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, провести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ремонт великого спортивного залу та актового залу.                                                                                                              </w:t>
      </w:r>
    </w:p>
    <w:p w:rsidR="003C7740" w:rsidRPr="00BE0D70" w:rsidRDefault="008F3395" w:rsidP="003C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D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7740" w:rsidRPr="00BE0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740" w:rsidRPr="00BE0D70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proofErr w:type="gramStart"/>
      <w:r w:rsidR="003C7740" w:rsidRPr="00BE0D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7740" w:rsidRPr="00BE0D70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2017/2018 </w:t>
      </w:r>
      <w:proofErr w:type="spellStart"/>
      <w:r w:rsidR="003C7740" w:rsidRPr="00BE0D7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3C7740" w:rsidRPr="00BE0D70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3C7740" w:rsidRDefault="003C7740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BCD" w:rsidRPr="00194BCD" w:rsidRDefault="00194BCD" w:rsidP="00B667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67BA" w:rsidRDefault="00B667BA" w:rsidP="00B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DF" w:rsidRDefault="00FF29DF"/>
    <w:sectPr w:rsidR="00FF29DF" w:rsidSect="00B5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5D7"/>
    <w:multiLevelType w:val="hybridMultilevel"/>
    <w:tmpl w:val="8A2E734A"/>
    <w:lvl w:ilvl="0" w:tplc="606A4714">
      <w:start w:val="1"/>
      <w:numFmt w:val="bullet"/>
      <w:lvlText w:val="-"/>
      <w:lvlJc w:val="left"/>
      <w:pPr>
        <w:ind w:left="2109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56C2E"/>
    <w:multiLevelType w:val="hybridMultilevel"/>
    <w:tmpl w:val="CB7E2E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B4794"/>
    <w:multiLevelType w:val="hybridMultilevel"/>
    <w:tmpl w:val="16D08F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069EF"/>
    <w:multiLevelType w:val="hybridMultilevel"/>
    <w:tmpl w:val="A6EC2362"/>
    <w:lvl w:ilvl="0" w:tplc="B2BEB92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4D55"/>
    <w:multiLevelType w:val="hybridMultilevel"/>
    <w:tmpl w:val="08F4C8BC"/>
    <w:lvl w:ilvl="0" w:tplc="606A4714">
      <w:start w:val="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96AB6"/>
    <w:multiLevelType w:val="hybridMultilevel"/>
    <w:tmpl w:val="31DA01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21"/>
    <w:rsid w:val="00166711"/>
    <w:rsid w:val="00194BCD"/>
    <w:rsid w:val="002125F5"/>
    <w:rsid w:val="002E3318"/>
    <w:rsid w:val="00320B32"/>
    <w:rsid w:val="00326EC5"/>
    <w:rsid w:val="003C7740"/>
    <w:rsid w:val="0045526E"/>
    <w:rsid w:val="008F3395"/>
    <w:rsid w:val="00995634"/>
    <w:rsid w:val="00A23721"/>
    <w:rsid w:val="00A61D70"/>
    <w:rsid w:val="00B56A0A"/>
    <w:rsid w:val="00B667BA"/>
    <w:rsid w:val="00BE0D70"/>
    <w:rsid w:val="00DF0E29"/>
    <w:rsid w:val="00E301C4"/>
    <w:rsid w:val="00E46707"/>
    <w:rsid w:val="00FF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67BA"/>
    <w:pPr>
      <w:spacing w:after="120"/>
    </w:pPr>
  </w:style>
  <w:style w:type="character" w:customStyle="1" w:styleId="a4">
    <w:name w:val="Основний текст Знак"/>
    <w:basedOn w:val="a0"/>
    <w:link w:val="a3"/>
    <w:rsid w:val="00B667BA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B667BA"/>
    <w:pPr>
      <w:widowControl w:val="0"/>
      <w:snapToGrid w:val="0"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B667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B667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667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E3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E33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2E3318"/>
    <w:rPr>
      <w:b/>
      <w:bCs/>
    </w:rPr>
  </w:style>
  <w:style w:type="character" w:customStyle="1" w:styleId="apple-converted-space">
    <w:name w:val="apple-converted-space"/>
    <w:basedOn w:val="a0"/>
    <w:rsid w:val="002E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7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67BA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B667BA"/>
    <w:pPr>
      <w:widowControl w:val="0"/>
      <w:snapToGrid w:val="0"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667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B667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6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052</cp:lastModifiedBy>
  <cp:revision>8</cp:revision>
  <cp:lastPrinted>2017-06-15T17:09:00Z</cp:lastPrinted>
  <dcterms:created xsi:type="dcterms:W3CDTF">2017-06-14T23:55:00Z</dcterms:created>
  <dcterms:modified xsi:type="dcterms:W3CDTF">2017-06-21T06:43:00Z</dcterms:modified>
</cp:coreProperties>
</file>